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F4E79"/>
        </w:rPr>
        <w:t>NDT Written Practice — ASNT SNT-TC-1A Compliant</w:t>
      </w:r>
    </w:p>
    <w:p>
      <w:pPr>
        <w:jc w:val="center"/>
      </w:pPr>
      <w:r>
        <w:rPr>
          <w:i/>
          <w:color w:val="666666"/>
          <w:sz w:val="20"/>
        </w:rPr>
        <w:t>Atlantis NDT — Free Editable Template</w:t>
      </w:r>
    </w:p>
    <w:p/>
    <w:p>
      <w:pPr>
        <w:pStyle w:val="Heading1"/>
      </w:pPr>
      <w:r>
        <w:rPr>
          <w:color w:val="1F4E79"/>
        </w:rPr>
        <w:t>1. Introduction &amp; Scope</w:t>
      </w:r>
    </w:p>
    <w:p>
      <w:r>
        <w:t>This Written Practice (WP) establishes the program for qualification and certification of Nondestructive Testing (NDT) personnel employed by [Employer Name]. It is prepared in accordance with the Recommended Practice ASNT SNT-TC-1A (current edition) and supplements such requirements with employer-specific provisions for application within [Employer's] organization.</w:t>
      </w:r>
    </w:p>
    <w:p>
      <w:r>
        <w:t>Where customer specifications or governing codes (ASME, AWS, API, ISO, NAS, MIL-STD) impose stricter requirements than this Written Practice, the more stringent requirement shall govern.</w:t>
      </w:r>
    </w:p>
    <w:p>
      <w:r>
        <w:rPr>
          <w:b/>
        </w:rPr>
        <w:t xml:space="preserve">Employer Name: </w:t>
      </w:r>
      <w:r>
        <w:t>[Employer]</w:t>
      </w:r>
    </w:p>
    <w:p>
      <w:r>
        <w:rPr>
          <w:b/>
        </w:rPr>
        <w:t xml:space="preserve">Effective Date: </w:t>
      </w:r>
      <w:r>
        <w:t>[YYYY-MM-DD]</w:t>
      </w:r>
    </w:p>
    <w:p>
      <w:r>
        <w:rPr>
          <w:b/>
        </w:rPr>
        <w:t xml:space="preserve">WP Document No.: </w:t>
      </w:r>
      <w:r>
        <w:t>[WPN-NDT-001 Rev __]</w:t>
      </w:r>
    </w:p>
    <w:p>
      <w:r>
        <w:rPr>
          <w:b/>
        </w:rPr>
        <w:t xml:space="preserve">Prepared by (NDT Level III): </w:t>
      </w:r>
      <w:r>
        <w:t>[Name, ASNT Level III Cert No.]</w:t>
      </w:r>
    </w:p>
    <w:p>
      <w:r>
        <w:rPr>
          <w:b/>
        </w:rPr>
        <w:t xml:space="preserve">Approved by: </w:t>
      </w:r>
      <w:r>
        <w:t>[Name, Position]</w:t>
      </w:r>
    </w:p>
    <w:p>
      <w:pPr>
        <w:pStyle w:val="Heading1"/>
      </w:pPr>
      <w:r>
        <w:rPr>
          <w:color w:val="1F4E79"/>
        </w:rPr>
        <w:t>2. NDT Methods Covered</w:t>
      </w:r>
    </w:p>
    <w:p>
      <w:pPr>
        <w:pStyle w:val="ListBullet"/>
      </w:pPr>
      <w:r>
        <w:t>Ultrasonic Testing (UT)</w:t>
      </w:r>
    </w:p>
    <w:p>
      <w:pPr>
        <w:pStyle w:val="ListBullet"/>
      </w:pPr>
      <w:r>
        <w:t>Radiographic Testing (RT)</w:t>
      </w:r>
    </w:p>
    <w:p>
      <w:pPr>
        <w:pStyle w:val="ListBullet"/>
      </w:pPr>
      <w:r>
        <w:t>Magnetic Particle Testing (MT)</w:t>
      </w:r>
    </w:p>
    <w:p>
      <w:pPr>
        <w:pStyle w:val="ListBullet"/>
      </w:pPr>
      <w:r>
        <w:t>Liquid Penetrant Testing (PT)</w:t>
      </w:r>
    </w:p>
    <w:p>
      <w:pPr>
        <w:pStyle w:val="ListBullet"/>
      </w:pPr>
      <w:r>
        <w:t>Eddy Current Testing (ET)</w:t>
      </w:r>
    </w:p>
    <w:p>
      <w:pPr>
        <w:pStyle w:val="ListBullet"/>
      </w:pPr>
      <w:r>
        <w:t>Visual Testing (VT)</w:t>
      </w:r>
    </w:p>
    <w:p>
      <w:pPr>
        <w:pStyle w:val="ListBullet"/>
      </w:pPr>
      <w:r>
        <w:t>Phased Array Ultrasonic Testing (PAUT)</w:t>
      </w:r>
    </w:p>
    <w:p>
      <w:pPr>
        <w:pStyle w:val="ListBullet"/>
      </w:pPr>
      <w:r>
        <w:t>Time-of-Flight Diffraction (TOFD)</w:t>
      </w:r>
    </w:p>
    <w:p>
      <w:pPr>
        <w:pStyle w:val="ListBullet"/>
      </w:pPr>
      <w:r>
        <w:t>Leak Testing (LT) — [if applicable]</w:t>
      </w:r>
    </w:p>
    <w:p>
      <w:pPr>
        <w:pStyle w:val="ListBullet"/>
      </w:pPr>
      <w:r>
        <w:t>Acoustic Emission (AE) — [if applicable]</w:t>
      </w:r>
    </w:p>
    <w:p>
      <w:pPr>
        <w:pStyle w:val="ListBullet"/>
      </w:pPr>
      <w:r>
        <w:t>Neutron Radiography (NR) — [if applicable]</w:t>
      </w:r>
    </w:p>
    <w:p>
      <w:pPr>
        <w:pStyle w:val="Heading1"/>
      </w:pPr>
      <w:r>
        <w:rPr>
          <w:color w:val="1F4E79"/>
        </w:rPr>
        <w:t>3. Levels of Qualification</w:t>
      </w:r>
    </w:p>
    <w:p>
      <w:r>
        <w:t>Three levels of personnel qualification are recognized within this Written Practice. Each level has specific responsibilities and authorities as defined below.</w:t>
      </w:r>
    </w:p>
    <w:p>
      <w:r>
        <w:rPr>
          <w:b/>
        </w:rPr>
        <w:t xml:space="preserve">Level I (Trainee): </w:t>
      </w:r>
      <w:r>
        <w:t>An individual qualified to perform specific calibrations and specific tests in accordance with written instructions. Records test results. Cannot independently evaluate, accept, or interpret. Works under direct supervision of a Level II or Level III.</w:t>
      </w:r>
    </w:p>
    <w:p>
      <w:r>
        <w:rPr>
          <w:b/>
        </w:rPr>
        <w:t xml:space="preserve">Level II: </w:t>
      </w:r>
      <w:r>
        <w:t>An individual qualified to set up and calibrate equipment, perform tests, interpret and evaluate results against applicable codes and standards, and document tests. Provides on-the-job training of Level I personnel. May supervise Level I personnel.</w:t>
      </w:r>
    </w:p>
    <w:p>
      <w:r>
        <w:rPr>
          <w:b/>
        </w:rPr>
        <w:t xml:space="preserve">Level III: </w:t>
      </w:r>
      <w:r>
        <w:t>An individual qualified to develop, qualify, and approve procedures; establish techniques; interpret codes and standards; evaluate and consult on the results; train and examine other personnel; conduct audits. Holds responsibility for the technical content of the Written Practice.</w:t>
      </w:r>
    </w:p>
    <w:p>
      <w:pPr>
        <w:pStyle w:val="Heading1"/>
      </w:pPr>
      <w:r>
        <w:rPr>
          <w:color w:val="1F4E79"/>
        </w:rPr>
        <w:t>4. Education, Training, and Experience Requirements</w:t>
      </w:r>
    </w:p>
    <w:p>
      <w:r>
        <w:t>Minimum education, training, and on-the-job experience requirements for each method and level follow ASNT SNT-TC-1A Table 6.3.1 (or equivalent). Specific hours by method are listed in Annex A.</w:t>
      </w:r>
    </w:p>
    <w:tbl>
      <w:tblPr>
        <w:tblStyle w:val="LightGrid-Accent1"/>
        <w:tblW w:type="auto" w:w="0"/>
        <w:tblLook w:firstColumn="1" w:firstRow="1" w:lastColumn="0" w:lastRow="0" w:noHBand="0" w:noVBand="1" w:val="04A0"/>
      </w:tblPr>
      <w:tblGrid>
        <w:gridCol w:w="1994"/>
        <w:gridCol w:w="1994"/>
        <w:gridCol w:w="1994"/>
        <w:gridCol w:w="1994"/>
        <w:gridCol w:w="1994"/>
      </w:tblGrid>
      <w:tr>
        <w:tc>
          <w:tcPr>
            <w:tcW w:type="dxa" w:w="1994"/>
          </w:tcPr>
          <w:p>
            <w:r>
              <w:t>Method</w:t>
            </w:r>
          </w:p>
        </w:tc>
        <w:tc>
          <w:tcPr>
            <w:tcW w:type="dxa" w:w="1994"/>
          </w:tcPr>
          <w:p>
            <w:r>
              <w:t>Level</w:t>
            </w:r>
          </w:p>
        </w:tc>
        <w:tc>
          <w:tcPr>
            <w:tcW w:type="dxa" w:w="1994"/>
          </w:tcPr>
          <w:p>
            <w:r>
              <w:t>Min Education</w:t>
            </w:r>
          </w:p>
        </w:tc>
        <w:tc>
          <w:tcPr>
            <w:tcW w:type="dxa" w:w="1994"/>
          </w:tcPr>
          <w:p>
            <w:r>
              <w:t>Training (hr)</w:t>
            </w:r>
          </w:p>
        </w:tc>
        <w:tc>
          <w:tcPr>
            <w:tcW w:type="dxa" w:w="1994"/>
          </w:tcPr>
          <w:p>
            <w:r>
              <w:t>Experience (hr)</w:t>
            </w:r>
          </w:p>
        </w:tc>
      </w:tr>
      <w:tr>
        <w:tc>
          <w:tcPr>
            <w:tcW w:type="dxa" w:w="1994"/>
          </w:tcPr>
          <w:p>
            <w:r>
              <w:t>UT</w:t>
            </w:r>
          </w:p>
        </w:tc>
        <w:tc>
          <w:tcPr>
            <w:tcW w:type="dxa" w:w="1994"/>
          </w:tcPr>
          <w:p>
            <w:r>
              <w:t>I</w:t>
            </w:r>
          </w:p>
        </w:tc>
        <w:tc>
          <w:tcPr>
            <w:tcW w:type="dxa" w:w="1994"/>
          </w:tcPr>
          <w:p>
            <w:r>
              <w:t>HS / equiv.</w:t>
            </w:r>
          </w:p>
        </w:tc>
        <w:tc>
          <w:tcPr>
            <w:tcW w:type="dxa" w:w="1994"/>
          </w:tcPr>
          <w:p>
            <w:r>
              <w:t>40</w:t>
            </w:r>
          </w:p>
        </w:tc>
        <w:tc>
          <w:tcPr>
            <w:tcW w:type="dxa" w:w="1994"/>
          </w:tcPr>
          <w:p>
            <w:r>
              <w:t>210</w:t>
            </w:r>
          </w:p>
        </w:tc>
      </w:tr>
      <w:tr>
        <w:tc>
          <w:tcPr>
            <w:tcW w:type="dxa" w:w="1994"/>
          </w:tcPr>
          <w:p>
            <w:r>
              <w:t>UT</w:t>
            </w:r>
          </w:p>
        </w:tc>
        <w:tc>
          <w:tcPr>
            <w:tcW w:type="dxa" w:w="1994"/>
          </w:tcPr>
          <w:p>
            <w:r>
              <w:t>II</w:t>
            </w:r>
          </w:p>
        </w:tc>
        <w:tc>
          <w:tcPr>
            <w:tcW w:type="dxa" w:w="1994"/>
          </w:tcPr>
          <w:p>
            <w:r>
              <w:t>HS / equiv.</w:t>
            </w:r>
          </w:p>
        </w:tc>
        <w:tc>
          <w:tcPr>
            <w:tcW w:type="dxa" w:w="1994"/>
          </w:tcPr>
          <w:p>
            <w:r>
              <w:t>40 (over Lv I)</w:t>
            </w:r>
          </w:p>
        </w:tc>
        <w:tc>
          <w:tcPr>
            <w:tcW w:type="dxa" w:w="1994"/>
          </w:tcPr>
          <w:p>
            <w:r>
              <w:t>630</w:t>
            </w:r>
          </w:p>
        </w:tc>
      </w:tr>
      <w:tr>
        <w:tc>
          <w:tcPr>
            <w:tcW w:type="dxa" w:w="1994"/>
          </w:tcPr>
          <w:p>
            <w:r>
              <w:t>RT</w:t>
            </w:r>
          </w:p>
        </w:tc>
        <w:tc>
          <w:tcPr>
            <w:tcW w:type="dxa" w:w="1994"/>
          </w:tcPr>
          <w:p>
            <w:r>
              <w:t>I</w:t>
            </w:r>
          </w:p>
        </w:tc>
        <w:tc>
          <w:tcPr>
            <w:tcW w:type="dxa" w:w="1994"/>
          </w:tcPr>
          <w:p>
            <w:r>
              <w:t>HS / equiv.</w:t>
            </w:r>
          </w:p>
        </w:tc>
        <w:tc>
          <w:tcPr>
            <w:tcW w:type="dxa" w:w="1994"/>
          </w:tcPr>
          <w:p>
            <w:r>
              <w:t>40</w:t>
            </w:r>
          </w:p>
        </w:tc>
        <w:tc>
          <w:tcPr>
            <w:tcW w:type="dxa" w:w="1994"/>
          </w:tcPr>
          <w:p>
            <w:r>
              <w:t>210</w:t>
            </w:r>
          </w:p>
        </w:tc>
      </w:tr>
      <w:tr>
        <w:tc>
          <w:tcPr>
            <w:tcW w:type="dxa" w:w="1994"/>
          </w:tcPr>
          <w:p>
            <w:r>
              <w:t>RT</w:t>
            </w:r>
          </w:p>
        </w:tc>
        <w:tc>
          <w:tcPr>
            <w:tcW w:type="dxa" w:w="1994"/>
          </w:tcPr>
          <w:p>
            <w:r>
              <w:t>II</w:t>
            </w:r>
          </w:p>
        </w:tc>
        <w:tc>
          <w:tcPr>
            <w:tcW w:type="dxa" w:w="1994"/>
          </w:tcPr>
          <w:p>
            <w:r>
              <w:t>HS / equiv.</w:t>
            </w:r>
          </w:p>
        </w:tc>
        <w:tc>
          <w:tcPr>
            <w:tcW w:type="dxa" w:w="1994"/>
          </w:tcPr>
          <w:p>
            <w:r>
              <w:t>40 (over Lv I)</w:t>
            </w:r>
          </w:p>
        </w:tc>
        <w:tc>
          <w:tcPr>
            <w:tcW w:type="dxa" w:w="1994"/>
          </w:tcPr>
          <w:p>
            <w:r>
              <w:t>630</w:t>
            </w:r>
          </w:p>
        </w:tc>
      </w:tr>
      <w:tr>
        <w:tc>
          <w:tcPr>
            <w:tcW w:type="dxa" w:w="1994"/>
          </w:tcPr>
          <w:p>
            <w:r>
              <w:t>MT</w:t>
            </w:r>
          </w:p>
        </w:tc>
        <w:tc>
          <w:tcPr>
            <w:tcW w:type="dxa" w:w="1994"/>
          </w:tcPr>
          <w:p>
            <w:r>
              <w:t>I</w:t>
            </w:r>
          </w:p>
        </w:tc>
        <w:tc>
          <w:tcPr>
            <w:tcW w:type="dxa" w:w="1994"/>
          </w:tcPr>
          <w:p>
            <w:r>
              <w:t>HS / equiv.</w:t>
            </w:r>
          </w:p>
        </w:tc>
        <w:tc>
          <w:tcPr>
            <w:tcW w:type="dxa" w:w="1994"/>
          </w:tcPr>
          <w:p>
            <w:r>
              <w:t>12</w:t>
            </w:r>
          </w:p>
        </w:tc>
        <w:tc>
          <w:tcPr>
            <w:tcW w:type="dxa" w:w="1994"/>
          </w:tcPr>
          <w:p>
            <w:r>
              <w:t>130</w:t>
            </w:r>
          </w:p>
        </w:tc>
      </w:tr>
      <w:tr>
        <w:tc>
          <w:tcPr>
            <w:tcW w:type="dxa" w:w="1994"/>
          </w:tcPr>
          <w:p>
            <w:r>
              <w:t>MT</w:t>
            </w:r>
          </w:p>
        </w:tc>
        <w:tc>
          <w:tcPr>
            <w:tcW w:type="dxa" w:w="1994"/>
          </w:tcPr>
          <w:p>
            <w:r>
              <w:t>II</w:t>
            </w:r>
          </w:p>
        </w:tc>
        <w:tc>
          <w:tcPr>
            <w:tcW w:type="dxa" w:w="1994"/>
          </w:tcPr>
          <w:p>
            <w:r>
              <w:t>HS / equiv.</w:t>
            </w:r>
          </w:p>
        </w:tc>
        <w:tc>
          <w:tcPr>
            <w:tcW w:type="dxa" w:w="1994"/>
          </w:tcPr>
          <w:p>
            <w:r>
              <w:t>8 (over Lv I)</w:t>
            </w:r>
          </w:p>
        </w:tc>
        <w:tc>
          <w:tcPr>
            <w:tcW w:type="dxa" w:w="1994"/>
          </w:tcPr>
          <w:p>
            <w:r>
              <w:t>390</w:t>
            </w:r>
          </w:p>
        </w:tc>
      </w:tr>
      <w:tr>
        <w:tc>
          <w:tcPr>
            <w:tcW w:type="dxa" w:w="1994"/>
          </w:tcPr>
          <w:p>
            <w:r>
              <w:t>PT</w:t>
            </w:r>
          </w:p>
        </w:tc>
        <w:tc>
          <w:tcPr>
            <w:tcW w:type="dxa" w:w="1994"/>
          </w:tcPr>
          <w:p>
            <w:r>
              <w:t>I</w:t>
            </w:r>
          </w:p>
        </w:tc>
        <w:tc>
          <w:tcPr>
            <w:tcW w:type="dxa" w:w="1994"/>
          </w:tcPr>
          <w:p>
            <w:r>
              <w:t>HS / equiv.</w:t>
            </w:r>
          </w:p>
        </w:tc>
        <w:tc>
          <w:tcPr>
            <w:tcW w:type="dxa" w:w="1994"/>
          </w:tcPr>
          <w:p>
            <w:r>
              <w:t>4</w:t>
            </w:r>
          </w:p>
        </w:tc>
        <w:tc>
          <w:tcPr>
            <w:tcW w:type="dxa" w:w="1994"/>
          </w:tcPr>
          <w:p>
            <w:r>
              <w:t>70</w:t>
            </w:r>
          </w:p>
        </w:tc>
      </w:tr>
      <w:tr>
        <w:tc>
          <w:tcPr>
            <w:tcW w:type="dxa" w:w="1994"/>
          </w:tcPr>
          <w:p>
            <w:r>
              <w:t>PT</w:t>
            </w:r>
          </w:p>
        </w:tc>
        <w:tc>
          <w:tcPr>
            <w:tcW w:type="dxa" w:w="1994"/>
          </w:tcPr>
          <w:p>
            <w:r>
              <w:t>II</w:t>
            </w:r>
          </w:p>
        </w:tc>
        <w:tc>
          <w:tcPr>
            <w:tcW w:type="dxa" w:w="1994"/>
          </w:tcPr>
          <w:p>
            <w:r>
              <w:t>HS / equiv.</w:t>
            </w:r>
          </w:p>
        </w:tc>
        <w:tc>
          <w:tcPr>
            <w:tcW w:type="dxa" w:w="1994"/>
          </w:tcPr>
          <w:p>
            <w:r>
              <w:t>8 (over Lv I)</w:t>
            </w:r>
          </w:p>
        </w:tc>
        <w:tc>
          <w:tcPr>
            <w:tcW w:type="dxa" w:w="1994"/>
          </w:tcPr>
          <w:p>
            <w:r>
              <w:t>130</w:t>
            </w:r>
          </w:p>
        </w:tc>
      </w:tr>
      <w:tr>
        <w:tc>
          <w:tcPr>
            <w:tcW w:type="dxa" w:w="1994"/>
          </w:tcPr>
          <w:p>
            <w:r>
              <w:t>VT</w:t>
            </w:r>
          </w:p>
        </w:tc>
        <w:tc>
          <w:tcPr>
            <w:tcW w:type="dxa" w:w="1994"/>
          </w:tcPr>
          <w:p>
            <w:r>
              <w:t>I</w:t>
            </w:r>
          </w:p>
        </w:tc>
        <w:tc>
          <w:tcPr>
            <w:tcW w:type="dxa" w:w="1994"/>
          </w:tcPr>
          <w:p>
            <w:r>
              <w:t>HS / equiv.</w:t>
            </w:r>
          </w:p>
        </w:tc>
        <w:tc>
          <w:tcPr>
            <w:tcW w:type="dxa" w:w="1994"/>
          </w:tcPr>
          <w:p>
            <w:r>
              <w:t>8</w:t>
            </w:r>
          </w:p>
        </w:tc>
        <w:tc>
          <w:tcPr>
            <w:tcW w:type="dxa" w:w="1994"/>
          </w:tcPr>
          <w:p>
            <w:r>
              <w:t>70</w:t>
            </w:r>
          </w:p>
        </w:tc>
      </w:tr>
      <w:tr>
        <w:tc>
          <w:tcPr>
            <w:tcW w:type="dxa" w:w="1994"/>
          </w:tcPr>
          <w:p>
            <w:r>
              <w:t>VT</w:t>
            </w:r>
          </w:p>
        </w:tc>
        <w:tc>
          <w:tcPr>
            <w:tcW w:type="dxa" w:w="1994"/>
          </w:tcPr>
          <w:p>
            <w:r>
              <w:t>II</w:t>
            </w:r>
          </w:p>
        </w:tc>
        <w:tc>
          <w:tcPr>
            <w:tcW w:type="dxa" w:w="1994"/>
          </w:tcPr>
          <w:p>
            <w:r>
              <w:t>HS / equiv.</w:t>
            </w:r>
          </w:p>
        </w:tc>
        <w:tc>
          <w:tcPr>
            <w:tcW w:type="dxa" w:w="1994"/>
          </w:tcPr>
          <w:p>
            <w:r>
              <w:t>16 (over Lv I)</w:t>
            </w:r>
          </w:p>
        </w:tc>
        <w:tc>
          <w:tcPr>
            <w:tcW w:type="dxa" w:w="1994"/>
          </w:tcPr>
          <w:p>
            <w:r>
              <w:t>130</w:t>
            </w:r>
          </w:p>
        </w:tc>
      </w:tr>
      <w:tr>
        <w:tc>
          <w:tcPr>
            <w:tcW w:type="dxa" w:w="1994"/>
          </w:tcPr>
          <w:p>
            <w:r>
              <w:t>ET</w:t>
            </w:r>
          </w:p>
        </w:tc>
        <w:tc>
          <w:tcPr>
            <w:tcW w:type="dxa" w:w="1994"/>
          </w:tcPr>
          <w:p>
            <w:r>
              <w:t>II</w:t>
            </w:r>
          </w:p>
        </w:tc>
        <w:tc>
          <w:tcPr>
            <w:tcW w:type="dxa" w:w="1994"/>
          </w:tcPr>
          <w:p>
            <w:r>
              <w:t>HS / equiv.</w:t>
            </w:r>
          </w:p>
        </w:tc>
        <w:tc>
          <w:tcPr>
            <w:tcW w:type="dxa" w:w="1994"/>
          </w:tcPr>
          <w:p>
            <w:r>
              <w:t>40</w:t>
            </w:r>
          </w:p>
        </w:tc>
        <w:tc>
          <w:tcPr>
            <w:tcW w:type="dxa" w:w="1994"/>
          </w:tcPr>
          <w:p>
            <w:r>
              <w:t>1200</w:t>
            </w:r>
          </w:p>
        </w:tc>
      </w:tr>
      <w:tr>
        <w:tc>
          <w:tcPr>
            <w:tcW w:type="dxa" w:w="1994"/>
          </w:tcPr>
          <w:p>
            <w:r>
              <w:t>PAUT</w:t>
            </w:r>
          </w:p>
        </w:tc>
        <w:tc>
          <w:tcPr>
            <w:tcW w:type="dxa" w:w="1994"/>
          </w:tcPr>
          <w:p>
            <w:r>
              <w:t>II</w:t>
            </w:r>
          </w:p>
        </w:tc>
        <w:tc>
          <w:tcPr>
            <w:tcW w:type="dxa" w:w="1994"/>
          </w:tcPr>
          <w:p>
            <w:r>
              <w:t>Level II UT</w:t>
            </w:r>
          </w:p>
        </w:tc>
        <w:tc>
          <w:tcPr>
            <w:tcW w:type="dxa" w:w="1994"/>
          </w:tcPr>
          <w:p>
            <w:r>
              <w:t>80</w:t>
            </w:r>
          </w:p>
        </w:tc>
        <w:tc>
          <w:tcPr>
            <w:tcW w:type="dxa" w:w="1994"/>
          </w:tcPr>
          <w:p>
            <w:r>
              <w:t>1200</w:t>
            </w:r>
          </w:p>
        </w:tc>
      </w:tr>
    </w:tbl>
    <w:p>
      <w:pPr>
        <w:pStyle w:val="Heading1"/>
      </w:pPr>
      <w:r>
        <w:rPr>
          <w:color w:val="1F4E79"/>
        </w:rPr>
        <w:t>5. Examinations</w:t>
      </w:r>
    </w:p>
    <w:p>
      <w:r>
        <w:t>Each candidate for certification at Level I or Level II shall pass three examinations administered by the Level III responsible for the method:</w:t>
      </w:r>
    </w:p>
    <w:p>
      <w:r>
        <w:rPr>
          <w:b/>
        </w:rPr>
        <w:t xml:space="preserve">General Examination: </w:t>
      </w:r>
      <w:r>
        <w:t>Principles and theory of the method. Minimum 40 questions for UT / RT, 30 for MT / PT / ET / VT.</w:t>
      </w:r>
    </w:p>
    <w:p>
      <w:r>
        <w:rPr>
          <w:b/>
        </w:rPr>
        <w:t xml:space="preserve">Specific Examination: </w:t>
      </w:r>
      <w:r>
        <w:t>Equipment, operating procedures, codes, and applicable standards used by the employer. Minimum 20 questions.</w:t>
      </w:r>
    </w:p>
    <w:p>
      <w:r>
        <w:rPr>
          <w:b/>
        </w:rPr>
        <w:t xml:space="preserve">Practical Examination: </w:t>
      </w:r>
      <w:r>
        <w:t>Hands-on demonstration of the method on representative test specimens. Includes equipment setup, calibration, indication detection, sizing, evaluation, and reporting.</w:t>
      </w:r>
    </w:p>
    <w:p>
      <w:r>
        <w:t>Pass mark: 70% on each examination, with composite (combined) score of 80% for Level II (per SNT-TC-1A and many customer specifications). Records of all examinations shall be retained.</w:t>
      </w:r>
    </w:p>
    <w:p>
      <w:pPr>
        <w:pStyle w:val="Heading1"/>
      </w:pPr>
      <w:r>
        <w:rPr>
          <w:color w:val="1F4E79"/>
        </w:rPr>
        <w:t>6. Vision Requirements</w:t>
      </w:r>
    </w:p>
    <w:p>
      <w:pPr>
        <w:pStyle w:val="ListBullet"/>
      </w:pPr>
      <w:r>
        <w:t>Near Vision: Jaeger No. 2 (or equivalent — Times Roman 4.5) at minimum 12 in. natural / corrected, in at least one eye. Examined annually.</w:t>
      </w:r>
    </w:p>
    <w:p>
      <w:pPr>
        <w:pStyle w:val="ListBullet"/>
      </w:pPr>
      <w:r>
        <w:t>Color Vision: Ability to distinguish and differentiate among colors used in the method (e.g., Ishihara plates). Examined upon employment and annually.</w:t>
      </w:r>
    </w:p>
    <w:p>
      <w:pPr>
        <w:pStyle w:val="ListBullet"/>
      </w:pPr>
      <w:r>
        <w:t>Records of vision examinations shall be maintained.</w:t>
      </w:r>
    </w:p>
    <w:p>
      <w:pPr>
        <w:pStyle w:val="Heading1"/>
      </w:pPr>
      <w:r>
        <w:rPr>
          <w:color w:val="1F4E79"/>
        </w:rPr>
        <w:t>7. Certification</w:t>
      </w:r>
    </w:p>
    <w:p>
      <w:r>
        <w:t>Upon successful completion of the training, experience, and examinations, the candidate is certified by the employer's Level III for the specific method and level. Certification records shall include: certificate number, name and ID of the certified individual, method, level, dates of certification and expiration, examination scores, training records, experience records, vision test records, and signature of the certifying Level III.</w:t>
      </w:r>
    </w:p>
    <w:p>
      <w:r>
        <w:rPr>
          <w:b/>
        </w:rPr>
        <w:t xml:space="preserve">Certification Period: </w:t>
      </w:r>
      <w:r>
        <w:t>5 years (Level III may shorten if required by customer / risk)</w:t>
      </w:r>
    </w:p>
    <w:p>
      <w:r>
        <w:rPr>
          <w:b/>
        </w:rPr>
        <w:t xml:space="preserve">Renewal: </w:t>
      </w:r>
      <w:r>
        <w:t>Annual review by Level III; full recertification per Section 8</w:t>
      </w:r>
    </w:p>
    <w:p>
      <w:pPr>
        <w:pStyle w:val="Heading1"/>
      </w:pPr>
      <w:r>
        <w:rPr>
          <w:color w:val="1F4E79"/>
        </w:rPr>
        <w:t>8. Recertification</w:t>
      </w:r>
    </w:p>
    <w:p>
      <w:r>
        <w:t>Recertification may be conducted by any of the following options at the discretion of the Level III (per SNT-TC-1A Section 9):</w:t>
      </w:r>
    </w:p>
    <w:p>
      <w:pPr>
        <w:pStyle w:val="ListBullet"/>
      </w:pPr>
      <w:r>
        <w:t>(a) Evidence of continuing satisfactory performance — Level III's review of work performed during the certification period.</w:t>
      </w:r>
    </w:p>
    <w:p>
      <w:pPr>
        <w:pStyle w:val="ListBullet"/>
      </w:pPr>
      <w:r>
        <w:t>(b) Re-examination — full general, specific, and practical examinations.</w:t>
      </w:r>
    </w:p>
    <w:p>
      <w:pPr>
        <w:pStyle w:val="ListBullet"/>
      </w:pPr>
      <w:r>
        <w:t>(c) Documented evidence of training and / or experience equivalent to the original certification.</w:t>
      </w:r>
    </w:p>
    <w:p>
      <w:pPr>
        <w:pStyle w:val="Heading1"/>
      </w:pPr>
      <w:r>
        <w:rPr>
          <w:color w:val="1F4E79"/>
        </w:rPr>
        <w:t>9. Suspension / Revocation of Certification</w:t>
      </w:r>
    </w:p>
    <w:p>
      <w:r>
        <w:t>Certification shall be suspended or revoked by the Level III on evidence of: misconduct related to NDT activity; failure to comply with this Written Practice or related procedures; loss of vision requirements; or a period of more than 12 consecutive months without active practice in the certified method. Reinstatement requires re-examination.</w:t>
      </w:r>
    </w:p>
    <w:p>
      <w:pPr>
        <w:pStyle w:val="Heading1"/>
      </w:pPr>
      <w:r>
        <w:rPr>
          <w:color w:val="1F4E79"/>
        </w:rPr>
        <w:t>10. Records &amp; Retention</w:t>
      </w:r>
    </w:p>
    <w:p>
      <w:r>
        <w:t>All records required by this Written Practice (training, experience, examination results, vision tests, certification certificates) shall be retained for the entire period of employment plus [5 years] post-departure, in a controlled environment with retrieval traceability per ISO 9001 §7.5.</w:t>
      </w:r>
    </w:p>
    <w:p>
      <w:pPr>
        <w:pStyle w:val="Heading1"/>
      </w:pPr>
      <w:r>
        <w:rPr>
          <w:color w:val="1F4E79"/>
        </w:rPr>
        <w:t>11. Audit &amp; Review</w:t>
      </w:r>
    </w:p>
    <w:p>
      <w:r>
        <w:t>This Written Practice shall be reviewed at least annually by the responsible Level III and updated as needed to reflect changes in SNT-TC-1A, applicable codes, or employer organization. The review shall be documented with the reviewer's signature and date.</w:t>
      </w:r>
    </w:p>
    <w:p>
      <w:pPr>
        <w:pStyle w:val="Heading1"/>
      </w:pPr>
      <w:r>
        <w:rPr>
          <w:color w:val="1F4E79"/>
        </w:rPr>
        <w:t>12. Annex A — Method Hour Requirements Summary</w:t>
      </w:r>
    </w:p>
    <w:p>
      <w:r>
        <w:t>Referenced in Section 4. Hours listed are SNT-TC-1A 2024 minima.</w:t>
      </w:r>
    </w:p>
    <w:p>
      <w:pPr>
        <w:pStyle w:val="Heading1"/>
      </w:pPr>
      <w:r>
        <w:rPr>
          <w:color w:val="1F4E79"/>
        </w:rPr>
        <w:t>13. Annex B — Examination Question Bank Reference</w:t>
      </w:r>
    </w:p>
    <w:p>
      <w:r>
        <w:t>Question banks for each method are maintained by the responsible Level III in a controlled environment, separate from training materials. Bank contents are referenced by question ID, not by content.</w:t>
      </w:r>
    </w:p>
    <w:p>
      <w:pPr>
        <w:pStyle w:val="Heading1"/>
      </w:pPr>
      <w:r>
        <w:rPr>
          <w:color w:val="1F4E79"/>
        </w:rPr>
        <w:t>14. Revision History</w:t>
      </w:r>
    </w:p>
    <w:tbl>
      <w:tblPr>
        <w:tblStyle w:val="LightGrid-Accent1"/>
        <w:tblW w:type="auto" w:w="0"/>
        <w:tblLook w:firstColumn="1" w:firstRow="1" w:lastColumn="0" w:lastRow="0" w:noHBand="0" w:noVBand="1" w:val="04A0"/>
      </w:tblPr>
      <w:tblGrid>
        <w:gridCol w:w="2493"/>
        <w:gridCol w:w="2493"/>
        <w:gridCol w:w="2493"/>
        <w:gridCol w:w="2493"/>
      </w:tblGrid>
      <w:tr>
        <w:tc>
          <w:tcPr>
            <w:tcW w:type="dxa" w:w="2493"/>
          </w:tcPr>
          <w:p>
            <w:r>
              <w:t>Rev</w:t>
            </w:r>
          </w:p>
        </w:tc>
        <w:tc>
          <w:tcPr>
            <w:tcW w:type="dxa" w:w="2493"/>
          </w:tcPr>
          <w:p>
            <w:r>
              <w:t>Date</w:t>
            </w:r>
          </w:p>
        </w:tc>
        <w:tc>
          <w:tcPr>
            <w:tcW w:type="dxa" w:w="2493"/>
          </w:tcPr>
          <w:p>
            <w:r>
              <w:t>Description</w:t>
            </w:r>
          </w:p>
        </w:tc>
        <w:tc>
          <w:tcPr>
            <w:tcW w:type="dxa" w:w="2493"/>
          </w:tcPr>
          <w:p>
            <w:r>
              <w:t>Approved by</w:t>
            </w:r>
          </w:p>
        </w:tc>
      </w:tr>
      <w:tr>
        <w:tc>
          <w:tcPr>
            <w:tcW w:type="dxa" w:w="2493"/>
          </w:tcPr>
          <w:p>
            <w:r>
              <w:t>0</w:t>
            </w:r>
          </w:p>
        </w:tc>
        <w:tc>
          <w:tcPr>
            <w:tcW w:type="dxa" w:w="2493"/>
          </w:tcPr>
          <w:p>
            <w:r>
              <w:t>[YYYY-MM-DD]</w:t>
            </w:r>
          </w:p>
        </w:tc>
        <w:tc>
          <w:tcPr>
            <w:tcW w:type="dxa" w:w="2493"/>
          </w:tcPr>
          <w:p>
            <w:r>
              <w:t>Initial issue</w:t>
            </w:r>
          </w:p>
        </w:tc>
        <w:tc>
          <w:tcPr>
            <w:tcW w:type="dxa" w:w="2493"/>
          </w:tcPr>
          <w:p>
            <w:r>
              <w:t>[Level III Name]</w:t>
            </w:r>
          </w:p>
        </w:tc>
      </w:tr>
    </w:tbl>
    <w:p/>
    <w:p>
      <w:pPr>
        <w:jc w:val="center"/>
      </w:pPr>
      <w:r>
        <w:rPr>
          <w:i/>
          <w:color w:val="666666"/>
          <w:sz w:val="18"/>
        </w:rPr>
        <w:t>© Atlantis NDT — Free editable template. Customize for your method, code, and customer requirements. Demo: info@atlantisndt.com  •  atlantisndt.com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